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75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b/>
          <w:bCs/>
          <w:color w:val="auto"/>
          <w:kern w:val="2"/>
          <w:sz w:val="28"/>
          <w:szCs w:val="28"/>
          <w:lang w:eastAsia="zh-CN"/>
        </w:rPr>
      </w:pPr>
      <w:bookmarkStart w:id="0" w:name="_Toc5733_WPSOffice_Level2"/>
      <w:r>
        <w:rPr>
          <w:rFonts w:hint="default" w:ascii="黑体" w:hAnsi="黑体" w:eastAsia="黑体" w:cs="黑体"/>
          <w:b/>
          <w:bCs/>
          <w:color w:val="auto"/>
          <w:kern w:val="2"/>
          <w:sz w:val="28"/>
          <w:szCs w:val="28"/>
          <w:lang w:eastAsia="zh-CN"/>
        </w:rPr>
        <w:t>鲜鱼腥草配方颗粒</w:t>
      </w:r>
      <w:bookmarkEnd w:id="0"/>
    </w:p>
    <w:p w14:paraId="6D6DF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en-US"/>
        </w:rPr>
      </w:pPr>
      <w:bookmarkStart w:id="1" w:name="_Toc29082_WPSOffice_Level2"/>
      <w:bookmarkStart w:id="2" w:name="_Toc32029_WPSOffice_Level2"/>
      <w:bookmarkStart w:id="3" w:name="_Toc22873_WPSOffice_Level2"/>
      <w:bookmarkStart w:id="4" w:name="_Toc9428_WPSOffice_Level2"/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en-US"/>
        </w:rPr>
        <w:t>Xianyuxingcao Peifangkeli</w:t>
      </w:r>
      <w:bookmarkEnd w:id="1"/>
      <w:bookmarkEnd w:id="2"/>
      <w:bookmarkEnd w:id="3"/>
      <w:bookmarkEnd w:id="4"/>
    </w:p>
    <w:p w14:paraId="52D0DD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</w:rPr>
      </w:pPr>
    </w:p>
    <w:p w14:paraId="228A60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【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>来源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】 本品为三白草科植物蕺菜</w:t>
      </w:r>
      <w:r>
        <w:rPr>
          <w:rFonts w:hint="default" w:ascii="Times New Roman" w:hAnsi="Times New Roman" w:eastAsia="宋体" w:cs="Times New Roman"/>
          <w:i/>
          <w:color w:val="auto"/>
          <w:sz w:val="21"/>
          <w:szCs w:val="21"/>
        </w:rPr>
        <w:t>Houttuynia cordata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 Thunb. 的新鲜全草经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</w:rPr>
        <w:t>炮制并按标准汤剂的主要质量指标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加工制成的配方颗粒。</w:t>
      </w:r>
    </w:p>
    <w:p w14:paraId="46177A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【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>制法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】 取鲜鱼腥草饮片12500g，加水煎煮，滤过，滤液浓缩成清膏（干浸膏出膏率为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%~6%），加入辅料适量，干燥（或干燥，粉碎），再加入辅料适量，混匀，制粒，制成1000g，即得。</w:t>
      </w:r>
    </w:p>
    <w:p w14:paraId="212902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【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>性状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】 本品为棕色至棕褐色的颗粒，气微，味微苦。</w:t>
      </w:r>
    </w:p>
    <w:p w14:paraId="7F8A9C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 xml:space="preserve">【鉴别】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取本品1g，加水20ml使溶解，用乙酸乙酯振摇提取2次，每次15ml，合并乙酸乙酯液，蒸干，残渣加甲醇1ml使溶解，作为供试品溶液。另取槲皮苷对照品适量，精密称定，加甲醇定容至5ml，制成每1ml含1mg槲皮苷的溶液，作为对照品溶液。照薄层色谱法（中国药典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2020年版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通则0502）试验，吸取上述两种溶液各4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μl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，分别点于同一硅胶G薄层板上，以甲苯-乙酸乙酯-甲酸（4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∶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5∶1）为展开剂，展开，取出，晾干，喷以1%三氯化铝试液，105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℃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下加热2分钟，置紫外光（365nm）下检视。供试品色谱中，在与对照品色谱相应的位置上，显相同颜色的荧光斑点。</w:t>
      </w:r>
    </w:p>
    <w:p w14:paraId="4EC198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【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>特征图谱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】 照高效液相色谱法（中国药典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2020年版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通则0512）测定。</w:t>
      </w:r>
    </w:p>
    <w:p w14:paraId="79BAB1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 xml:space="preserve">色谱条件与系统适用性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同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  <w:t>【含量测定】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项。</w:t>
      </w:r>
    </w:p>
    <w:p w14:paraId="695F580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 xml:space="preserve">参照物溶液的制备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取绿原酸对照品、金丝桃苷对照品、槲皮苷对照品适量，精密称定，加70%乙醇制成每1ml各含50µg的混合溶液，即得。</w:t>
      </w:r>
    </w:p>
    <w:p w14:paraId="4B238C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 xml:space="preserve">供试品溶液的制备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同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eastAsia="zh-CN"/>
        </w:rPr>
        <w:t>【含量测定】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项。</w:t>
      </w:r>
    </w:p>
    <w:p w14:paraId="1580E64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 xml:space="preserve">测定法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分别精密吸取参照物溶液与供试品溶液各1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μl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，注入液相色谱仪，测定，即得。</w:t>
      </w:r>
    </w:p>
    <w:p w14:paraId="6BF0D8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供试品色谱中应呈现7个特征峰，其中有3个峰应分别与相应参照物峰的保留时间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相对应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；与绿原酸参照物峰相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对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应的峰为S1峰，计算峰1、峰3与S1峰的相对保留时间，其相对保留时间应在规定值的±10%范围之内，规定值为：0.66（峰1）、1.09（峰3）；与槲皮苷参照物峰相应的峰为S2峰，计算峰4、峰6与S2峰的相对保留时间，其相对保留时间应在规定值的±10%范围之内，规定值为：0.89（峰4）、0.91（峰6）。</w:t>
      </w:r>
    </w:p>
    <w:p w14:paraId="2F84D8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drawing>
          <wp:inline distT="0" distB="0" distL="114300" distR="114300">
            <wp:extent cx="5264785" cy="1979930"/>
            <wp:effectExtent l="0" t="0" r="12065" b="1270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97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FA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lang w:eastAsia="zh-CN"/>
        </w:rPr>
        <w:t>对照特征图谱</w:t>
      </w:r>
    </w:p>
    <w:p w14:paraId="3F094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  <w:t>峰1：新绿原酸；峰2(S1)：绿原酸；峰3：隐绿原酸；峰5：金丝桃苷；峰7(S2)：槲皮苷</w:t>
      </w:r>
    </w:p>
    <w:p w14:paraId="0E35A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  <w:t>色谱柱：ACQUITY HSS T3，2.1mm×100mm，1.8μm</w:t>
      </w:r>
      <w:bookmarkStart w:id="5" w:name="_GoBack"/>
      <w:bookmarkEnd w:id="5"/>
    </w:p>
    <w:p w14:paraId="325B1E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  <w:t>检查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 xml:space="preserve">】 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</w:rPr>
        <w:t>应符合颗粒剂项下有关的各项规定（中国药典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  <w:lang w:eastAsia="zh-CN"/>
        </w:rPr>
        <w:t>2020年版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</w:rPr>
        <w:t>通则0104）。</w:t>
      </w:r>
    </w:p>
    <w:p w14:paraId="6437A3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bCs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  <w:t xml:space="preserve">【浸出物】 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</w:rPr>
        <w:t>取本品研细，取约2g，精密称定，精密加入乙醇100ml，照醇溶性浸出物测定法（中国药典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  <w:lang w:eastAsia="zh-CN"/>
        </w:rPr>
        <w:t>2020年版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</w:rPr>
        <w:t>通则2201）项下的热浸法测定，不得少于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  <w:lang w:val="en-US" w:eastAsia="zh-CN"/>
        </w:rPr>
        <w:t>9.0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</w:rPr>
        <w:t>%。</w:t>
      </w:r>
    </w:p>
    <w:p w14:paraId="7216DF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</w:rPr>
        <w:t xml:space="preserve">【含量测定】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照高效液相色谱法（中国药典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2020年版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通则0512）测定。</w:t>
      </w:r>
    </w:p>
    <w:p w14:paraId="669891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 xml:space="preserve">色谱条件与系统适用性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以十八烷基硅烷键合硅胶为填充剂（柱长为100mm，内径为2.1mm，粒径为1.8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</w:rPr>
        <w:t>µm)；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以乙腈为流动相A，以0.1%磷酸溶液为流动相B，按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下表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中的规定进行梯度洗脱；流速为每分钟0.3ml；柱温为30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℃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；检测波长为0~13分钟为326nm，13~25分钟为254nm。理论板数按槲皮苷峰计算应不低于10000。</w:t>
      </w:r>
    </w:p>
    <w:tbl>
      <w:tblPr>
        <w:tblStyle w:val="6"/>
        <w:tblW w:w="8163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1"/>
        <w:gridCol w:w="2721"/>
        <w:gridCol w:w="2721"/>
      </w:tblGrid>
      <w:tr w14:paraId="2C94E461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tcBorders>
              <w:bottom w:val="single" w:color="auto" w:sz="4" w:space="0"/>
              <w:insideH w:val="single" w:sz="4" w:space="0"/>
            </w:tcBorders>
            <w:vAlign w:val="bottom"/>
          </w:tcPr>
          <w:p w14:paraId="329FF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时间（分钟）</w:t>
            </w:r>
          </w:p>
        </w:tc>
        <w:tc>
          <w:tcPr>
            <w:tcW w:w="2721" w:type="dxa"/>
            <w:tcBorders>
              <w:bottom w:val="single" w:color="auto" w:sz="4" w:space="0"/>
              <w:insideH w:val="single" w:sz="4" w:space="0"/>
            </w:tcBorders>
            <w:vAlign w:val="bottom"/>
          </w:tcPr>
          <w:p w14:paraId="7AF64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流动相A（%）</w:t>
            </w:r>
          </w:p>
        </w:tc>
        <w:tc>
          <w:tcPr>
            <w:tcW w:w="2721" w:type="dxa"/>
            <w:tcBorders>
              <w:bottom w:val="single" w:color="auto" w:sz="4" w:space="0"/>
              <w:insideH w:val="single" w:sz="4" w:space="0"/>
            </w:tcBorders>
            <w:vAlign w:val="bottom"/>
          </w:tcPr>
          <w:p w14:paraId="39AF1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流动相B（%）</w:t>
            </w:r>
          </w:p>
        </w:tc>
      </w:tr>
      <w:tr w14:paraId="003C0A2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vAlign w:val="bottom"/>
          </w:tcPr>
          <w:p w14:paraId="3A201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0~7</w:t>
            </w:r>
          </w:p>
        </w:tc>
        <w:tc>
          <w:tcPr>
            <w:tcW w:w="2721" w:type="dxa"/>
            <w:vAlign w:val="bottom"/>
          </w:tcPr>
          <w:p w14:paraId="249A4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5→11</w:t>
            </w:r>
          </w:p>
        </w:tc>
        <w:tc>
          <w:tcPr>
            <w:tcW w:w="2721" w:type="dxa"/>
            <w:vAlign w:val="bottom"/>
          </w:tcPr>
          <w:p w14:paraId="28776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95→89</w:t>
            </w:r>
          </w:p>
        </w:tc>
      </w:tr>
      <w:tr w14:paraId="43549B4D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vAlign w:val="bottom"/>
          </w:tcPr>
          <w:p w14:paraId="6ABA1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7~10</w:t>
            </w:r>
          </w:p>
        </w:tc>
        <w:tc>
          <w:tcPr>
            <w:tcW w:w="2721" w:type="dxa"/>
            <w:vAlign w:val="bottom"/>
          </w:tcPr>
          <w:p w14:paraId="0ED5B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11→11.5</w:t>
            </w:r>
          </w:p>
        </w:tc>
        <w:tc>
          <w:tcPr>
            <w:tcW w:w="2721" w:type="dxa"/>
            <w:vAlign w:val="bottom"/>
          </w:tcPr>
          <w:p w14:paraId="1085B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89→88.5</w:t>
            </w:r>
          </w:p>
        </w:tc>
      </w:tr>
      <w:tr w14:paraId="651C10A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vAlign w:val="bottom"/>
          </w:tcPr>
          <w:p w14:paraId="08A303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10~13</w:t>
            </w:r>
          </w:p>
        </w:tc>
        <w:tc>
          <w:tcPr>
            <w:tcW w:w="2721" w:type="dxa"/>
            <w:vAlign w:val="bottom"/>
          </w:tcPr>
          <w:p w14:paraId="3253B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11.5→20</w:t>
            </w:r>
          </w:p>
        </w:tc>
        <w:tc>
          <w:tcPr>
            <w:tcW w:w="2721" w:type="dxa"/>
            <w:vAlign w:val="bottom"/>
          </w:tcPr>
          <w:p w14:paraId="698555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88.5→80</w:t>
            </w:r>
          </w:p>
        </w:tc>
      </w:tr>
      <w:tr w14:paraId="53DCA91E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vAlign w:val="bottom"/>
          </w:tcPr>
          <w:p w14:paraId="62280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13~20</w:t>
            </w:r>
          </w:p>
        </w:tc>
        <w:tc>
          <w:tcPr>
            <w:tcW w:w="2721" w:type="dxa"/>
            <w:vAlign w:val="bottom"/>
          </w:tcPr>
          <w:p w14:paraId="1C94E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20→25</w:t>
            </w:r>
          </w:p>
        </w:tc>
        <w:tc>
          <w:tcPr>
            <w:tcW w:w="2721" w:type="dxa"/>
            <w:vAlign w:val="bottom"/>
          </w:tcPr>
          <w:p w14:paraId="02164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80→75</w:t>
            </w:r>
          </w:p>
        </w:tc>
      </w:tr>
      <w:tr w14:paraId="0EC2501A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vAlign w:val="bottom"/>
          </w:tcPr>
          <w:p w14:paraId="15B69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20~20.1</w:t>
            </w:r>
          </w:p>
        </w:tc>
        <w:tc>
          <w:tcPr>
            <w:tcW w:w="2721" w:type="dxa"/>
            <w:vAlign w:val="bottom"/>
          </w:tcPr>
          <w:p w14:paraId="15B89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25→5</w:t>
            </w:r>
          </w:p>
        </w:tc>
        <w:tc>
          <w:tcPr>
            <w:tcW w:w="2721" w:type="dxa"/>
            <w:vAlign w:val="bottom"/>
          </w:tcPr>
          <w:p w14:paraId="4D8EA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75→95</w:t>
            </w:r>
          </w:p>
        </w:tc>
      </w:tr>
      <w:tr w14:paraId="36FFBCD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721" w:type="dxa"/>
            <w:vAlign w:val="bottom"/>
          </w:tcPr>
          <w:p w14:paraId="4DBC4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25</w:t>
            </w:r>
          </w:p>
        </w:tc>
        <w:tc>
          <w:tcPr>
            <w:tcW w:w="2721" w:type="dxa"/>
            <w:vAlign w:val="bottom"/>
          </w:tcPr>
          <w:p w14:paraId="2E698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2721" w:type="dxa"/>
            <w:vAlign w:val="bottom"/>
          </w:tcPr>
          <w:p w14:paraId="0C1B2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95</w:t>
            </w:r>
          </w:p>
        </w:tc>
      </w:tr>
    </w:tbl>
    <w:p w14:paraId="78B392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 xml:space="preserve">对照品溶液的制备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取槲皮苷对照品适量，精密称定，加70%乙醇制成每1ml含50µg的溶液，即得。</w:t>
      </w:r>
    </w:p>
    <w:p w14:paraId="45AB7A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 xml:space="preserve">供试品溶液的制备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取本品适量，研细，取约0.1g，精密称定，置具塞锥形瓶中，精密加入70%乙醇25ml，密塞，称定重量，超声处理（功率250W，频率40kHz）30分钟，放冷，再称定重量，用70%乙醇补足减失的重量，摇匀，滤过，取续滤液，即得。</w:t>
      </w:r>
    </w:p>
    <w:p w14:paraId="73BB11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</w:rPr>
        <w:t xml:space="preserve">测定法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分别精密吸取对照品溶液与供试品溶液各1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μl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，注入液相色谱仪，测定，即得。</w:t>
      </w:r>
    </w:p>
    <w:p w14:paraId="0370FD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本品每1g含槲皮苷（C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vertAlign w:val="subscript"/>
        </w:rPr>
        <w:t>21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H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vertAlign w:val="subscript"/>
        </w:rPr>
        <w:t>20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O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vertAlign w:val="subscript"/>
        </w:rPr>
        <w:t>11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）应为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2.0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mg~1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.0 mg。</w:t>
      </w:r>
    </w:p>
    <w:p w14:paraId="246ECEAE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000000"/>
          <w:sz w:val="21"/>
          <w:szCs w:val="21"/>
        </w:rPr>
        <w:t xml:space="preserve">【规格】 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每1g配方颗粒相当于饮片12.5g</w:t>
      </w:r>
    </w:p>
    <w:p w14:paraId="067649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【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贮藏</w:t>
      </w:r>
      <w:r>
        <w:rPr>
          <w:rFonts w:hint="default" w:ascii="Times New Roman" w:hAnsi="Times New Roman" w:eastAsia="宋体" w:cs="Times New Roman"/>
          <w:sz w:val="21"/>
          <w:szCs w:val="21"/>
        </w:rPr>
        <w:t>】 密封。</w:t>
      </w:r>
    </w:p>
    <w:p w14:paraId="2AE98D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br w:type="page"/>
      </w:r>
    </w:p>
    <w:p w14:paraId="31F831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mMmNkZWYwMmY2M2MxY2VjOWU3ODQ1ZTNhZDRhNGYifQ=="/>
  </w:docVars>
  <w:rsids>
    <w:rsidRoot w:val="00000000"/>
    <w:rsid w:val="08093E51"/>
    <w:rsid w:val="09246CB1"/>
    <w:rsid w:val="0BAB417B"/>
    <w:rsid w:val="0EB025BF"/>
    <w:rsid w:val="13EA2964"/>
    <w:rsid w:val="2CC31D69"/>
    <w:rsid w:val="391555CE"/>
    <w:rsid w:val="3FD17C46"/>
    <w:rsid w:val="402B4AF5"/>
    <w:rsid w:val="422C0AEC"/>
    <w:rsid w:val="4846683E"/>
    <w:rsid w:val="4A941456"/>
    <w:rsid w:val="4B651B6D"/>
    <w:rsid w:val="53735F67"/>
    <w:rsid w:val="69270DB5"/>
    <w:rsid w:val="725C010B"/>
    <w:rsid w:val="759C4EB8"/>
    <w:rsid w:val="76AD2434"/>
    <w:rsid w:val="7CD0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360" w:lineRule="auto"/>
      <w:ind w:firstLine="480" w:firstLineChars="200"/>
      <w:jc w:val="both"/>
    </w:pPr>
    <w:rPr>
      <w:rFonts w:ascii="Times New Roman" w:hAnsi="Times New Roman" w:eastAsia="宋体" w:cs="黑体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widowControl w:val="0"/>
      <w:adjustRightInd w:val="0"/>
      <w:snapToGrid w:val="0"/>
      <w:spacing w:line="360" w:lineRule="auto"/>
      <w:ind w:firstLine="0" w:firstLineChars="0"/>
      <w:jc w:val="left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line="360" w:lineRule="auto"/>
      <w:outlineLvl w:val="1"/>
    </w:pPr>
    <w:rPr>
      <w:rFonts w:ascii="Times New Roman" w:hAnsi="Times New Roman" w:cs="Times New Roman"/>
      <w:b/>
      <w:bCs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styleId="6">
    <w:name w:val="Table Grid"/>
    <w:basedOn w:val="5"/>
    <w:qFormat/>
    <w:uiPriority w:val="59"/>
    <w:pPr>
      <w:jc w:val="center"/>
    </w:pPr>
    <w:rPr>
      <w:sz w:val="18"/>
    </w:rPr>
    <w:tblPr>
      <w:tblBorders>
        <w:top w:val="single" w:color="auto" w:sz="12" w:space="0"/>
        <w:bottom w:val="single" w:color="auto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bottom w:val="single" w:color="auto" w:sz="4" w:space="0"/>
        </w:tcBorders>
      </w:tcPr>
    </w:tblStylePr>
  </w:style>
  <w:style w:type="paragraph" w:customStyle="1" w:styleId="8">
    <w:name w:val="引用1"/>
    <w:basedOn w:val="1"/>
    <w:next w:val="1"/>
    <w:qFormat/>
    <w:uiPriority w:val="29"/>
    <w:pPr>
      <w:spacing w:line="240" w:lineRule="auto"/>
      <w:ind w:firstLine="0" w:firstLineChars="0"/>
      <w:jc w:val="center"/>
    </w:pPr>
    <w:rPr>
      <w:rFonts w:cs="Times New Roman"/>
      <w:iCs/>
      <w:color w:val="000000"/>
      <w:kern w:val="0"/>
      <w:sz w:val="18"/>
      <w:szCs w:val="20"/>
    </w:rPr>
  </w:style>
  <w:style w:type="paragraph" w:customStyle="1" w:styleId="9">
    <w:name w:val="样式2"/>
    <w:basedOn w:val="1"/>
    <w:qFormat/>
    <w:uiPriority w:val="0"/>
    <w:pPr>
      <w:ind w:firstLine="0" w:firstLineChars="0"/>
    </w:pPr>
    <w:rPr>
      <w:rFonts w:cs="Times New Roman"/>
      <w:kern w:val="0"/>
      <w:szCs w:val="20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type="paragraph" w:customStyle="1" w:styleId="12">
    <w:name w:val="Table Paragraph"/>
    <w:basedOn w:val="1"/>
    <w:qFormat/>
    <w:uiPriority w:val="1"/>
    <w:pPr>
      <w:spacing w:before="16"/>
      <w:ind w:left="701" w:right="722"/>
      <w:jc w:val="center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1308</Words>
  <Characters>1651</Characters>
  <Lines>0</Lines>
  <Paragraphs>0</Paragraphs>
  <TotalTime>1</TotalTime>
  <ScaleCrop>false</ScaleCrop>
  <LinksUpToDate>false</LinksUpToDate>
  <CharactersWithSpaces>1677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爱迪生1990</cp:lastModifiedBy>
  <dcterms:modified xsi:type="dcterms:W3CDTF">2024-09-13T10:21:47Z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9849A51939724B4C9DB6A99E1E6A08CF_13</vt:lpwstr>
  </property>
</Properties>
</file>